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E2BC8" w:rsidRPr="00EE2BC8" w:rsidTr="00EE2B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2BC8" w:rsidRPr="00EE2BC8" w:rsidRDefault="00EE2BC8" w:rsidP="00EE2BC8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E2BC8">
              <w:rPr>
                <w:rFonts w:ascii="新細明體" w:eastAsia="新細明體" w:hAnsi="新細明體" w:cs="新細明體"/>
                <w:noProof/>
                <w:kern w:val="0"/>
                <w:sz w:val="18"/>
                <w:szCs w:val="18"/>
              </w:rPr>
              <w:drawing>
                <wp:inline distT="0" distB="0" distL="0" distR="0" wp14:anchorId="7E7A0927" wp14:editId="2ABE2A69">
                  <wp:extent cx="3945255" cy="626745"/>
                  <wp:effectExtent l="0" t="0" r="0" b="1905"/>
                  <wp:docPr id="1" name="圖片 1" descr="http://www.boe.chc.edu.tw/sub/administration/images/admin_p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oe.chc.edu.tw/sub/administration/images/admin_p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2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BC8" w:rsidRPr="00EE2BC8" w:rsidRDefault="00EE2BC8" w:rsidP="00EE2BC8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600" w:type="dxa"/>
        <w:jc w:val="center"/>
        <w:tblCellSpacing w:w="1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8"/>
        <w:gridCol w:w="3400"/>
        <w:gridCol w:w="1980"/>
        <w:gridCol w:w="3412"/>
      </w:tblGrid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編號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10872235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color w:val="FF0000"/>
                <w:kern w:val="0"/>
                <w:sz w:val="23"/>
                <w:szCs w:val="23"/>
              </w:rPr>
              <w:t>【重要公告】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有關彰化縣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108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年度交通安全教育輔導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訪視初評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結果乙案，詳如說明，輔導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訪視初評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資料請於</w:t>
            </w:r>
            <w:r w:rsidRPr="00EE2BC8">
              <w:rPr>
                <w:rFonts w:ascii="新細明體" w:eastAsia="新細明體" w:hAnsi="新細明體" w:cs="新細明體"/>
                <w:color w:val="FF0000"/>
                <w:kern w:val="0"/>
                <w:sz w:val="23"/>
                <w:szCs w:val="23"/>
              </w:rPr>
              <w:t>108年11月22日(星期五)前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，至彰化縣教育志工人力資源整合中心領回，請查照。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行政公告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社教科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許淑純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2019/11/08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公告內容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6577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說明：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一、彰化縣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108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年度交通安全教育輔導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訪視初評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 xml:space="preserve">結果： 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(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一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)國小組：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1.甲等以上成效較佳學校：寶山國小、白沙國小、西勢國小、馬興國小、</w:t>
            </w:r>
            <w:r w:rsidRPr="00EE2BC8">
              <w:rPr>
                <w:rFonts w:ascii="新細明體" w:eastAsia="新細明體" w:hAnsi="新細明體" w:cs="新細明體"/>
                <w:color w:val="7030A0"/>
                <w:kern w:val="0"/>
                <w:sz w:val="23"/>
                <w:szCs w:val="23"/>
                <w:shd w:val="pct15" w:color="auto" w:fill="FFFFFF"/>
              </w:rPr>
              <w:t>永興國小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、王功國小及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芙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朝國小等7校。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2.進行實地訪視參加複評學校：白沙國小及王功國小等2校。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(二)國中組：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1.甲等以上成效較佳學校：大同國中、秀水國中及原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斗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國中小等3校。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2.進行實地訪視參加複評學校：大同國中及原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斗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國中小等2校。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二、實地訪視時間訂於11月21日(星期四)辦理，請白沙國小、王功國小、大同國中及原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斗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國中小先行準備。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三、請領回交通安全教育輔導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訪視初評書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面資料：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(</w:t>
            </w:r>
            <w:proofErr w:type="gramStart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一</w:t>
            </w:r>
            <w:proofErr w:type="gramEnd"/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)領取時間：108年11月22日(星期五)前上午9時至12時，下午2時至5時。</w:t>
            </w: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br/>
              <w:t>(二)領取地點：彰化縣教育志工人力資源整合中心(彰化縣立體育館102教室，彰化市健興路1號)，聯絡電話：04-7127115。</w:t>
            </w: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lastRenderedPageBreak/>
              <w:t>相關檔案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</w:p>
        </w:tc>
      </w:tr>
      <w:tr w:rsidR="00EE2BC8" w:rsidRPr="00EE2BC8" w:rsidTr="00EE2BC8">
        <w:trPr>
          <w:tblCellSpacing w:w="12" w:type="dxa"/>
          <w:jc w:val="center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jc w:val="center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 w:rsidRPr="00EE2BC8"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E2BC8" w:rsidRPr="00EE2BC8" w:rsidRDefault="00EE2BC8" w:rsidP="00EE2BC8">
            <w:pPr>
              <w:widowControl/>
              <w:spacing w:after="150"/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</w:p>
        </w:tc>
      </w:tr>
    </w:tbl>
    <w:p w:rsidR="00EE2BC8" w:rsidRPr="00EE2BC8" w:rsidRDefault="00EE2BC8" w:rsidP="00EE2BC8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EE2BC8">
        <w:rPr>
          <w:rFonts w:ascii="新細明體" w:eastAsia="新細明體" w:hAnsi="新細明體" w:cs="新細明體"/>
          <w:kern w:val="0"/>
          <w:sz w:val="20"/>
          <w:szCs w:val="20"/>
        </w:rPr>
        <w:t>社教科　許淑純　發佈時間：2019-11-08 11:10:50</w:t>
      </w:r>
    </w:p>
    <w:p w:rsidR="0041559C" w:rsidRPr="00EE2BC8" w:rsidRDefault="0041559C" w:rsidP="00EE2BC8">
      <w:bookmarkStart w:id="0" w:name="_GoBack"/>
      <w:bookmarkEnd w:id="0"/>
    </w:p>
    <w:sectPr w:rsidR="0041559C" w:rsidRPr="00EE2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38" w:rsidRDefault="00E92438" w:rsidP="006577C8">
      <w:r>
        <w:separator/>
      </w:r>
    </w:p>
  </w:endnote>
  <w:endnote w:type="continuationSeparator" w:id="0">
    <w:p w:rsidR="00E92438" w:rsidRDefault="00E92438" w:rsidP="0065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38" w:rsidRDefault="00E92438" w:rsidP="006577C8">
      <w:r>
        <w:separator/>
      </w:r>
    </w:p>
  </w:footnote>
  <w:footnote w:type="continuationSeparator" w:id="0">
    <w:p w:rsidR="00E92438" w:rsidRDefault="00E92438" w:rsidP="0065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C8"/>
    <w:rsid w:val="0041559C"/>
    <w:rsid w:val="006577C8"/>
    <w:rsid w:val="00E92438"/>
    <w:rsid w:val="00E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2B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7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7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2B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77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7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永興國小</dc:creator>
  <cp:lastModifiedBy>永興國小</cp:lastModifiedBy>
  <cp:revision>2</cp:revision>
  <dcterms:created xsi:type="dcterms:W3CDTF">2019-11-08T07:35:00Z</dcterms:created>
  <dcterms:modified xsi:type="dcterms:W3CDTF">2019-11-08T07:38:00Z</dcterms:modified>
</cp:coreProperties>
</file>